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48" w:rsidRPr="00363048" w:rsidRDefault="00363048" w:rsidP="00363048">
      <w:pPr>
        <w:shd w:val="clear" w:color="auto" w:fill="FFFFFF"/>
        <w:bidi/>
        <w:spacing w:beforeAutospacing="1" w:after="100" w:afterAutospacing="1" w:line="240" w:lineRule="auto"/>
        <w:rPr>
          <w:rFonts w:ascii="Tahoma" w:eastAsia="Times New Roman" w:hAnsi="Tahoma" w:cs="2  Titr"/>
          <w:color w:val="31849B" w:themeColor="accent5" w:themeShade="BF"/>
          <w:sz w:val="18"/>
          <w:szCs w:val="18"/>
          <w:lang/>
        </w:rPr>
      </w:pPr>
      <w:r w:rsidRPr="00363048">
        <w:rPr>
          <w:rFonts w:ascii="Tahoma" w:eastAsia="Times New Roman" w:hAnsi="Tahoma" w:cs="2  Titr"/>
          <w:b/>
          <w:bCs/>
          <w:color w:val="31849B" w:themeColor="accent5" w:themeShade="BF"/>
          <w:sz w:val="28"/>
          <w:rtl/>
          <w:lang/>
        </w:rPr>
        <w:t>ماده واحده ـ</w:t>
      </w:r>
      <w:r w:rsidRPr="00363048">
        <w:rPr>
          <w:rFonts w:ascii="Tahoma" w:eastAsia="Times New Roman" w:hAnsi="Tahoma" w:cs="2  Titr"/>
          <w:color w:val="31849B" w:themeColor="accent5" w:themeShade="BF"/>
          <w:rtl/>
          <w:lang/>
        </w:rPr>
        <w:t xml:space="preserve"> ماده (101) قانون شهرداری به شرح ذیل اصلاح می‌گردد:</w:t>
      </w:r>
    </w:p>
    <w:p w:rsidR="00363048" w:rsidRPr="00363048" w:rsidRDefault="00363048" w:rsidP="00363048">
      <w:pPr>
        <w:shd w:val="clear" w:color="auto" w:fill="FFFFFF"/>
        <w:bidi/>
        <w:spacing w:before="100" w:beforeAutospacing="1" w:after="100" w:afterAutospacing="1" w:line="240" w:lineRule="auto"/>
        <w:rPr>
          <w:rFonts w:ascii="Tahoma" w:eastAsia="Times New Roman" w:hAnsi="Tahoma" w:cs="Tahoma"/>
          <w:color w:val="000000"/>
          <w:sz w:val="15"/>
          <w:szCs w:val="15"/>
          <w:rtl/>
          <w:lang/>
        </w:rPr>
      </w:pPr>
      <w:r w:rsidRPr="00363048">
        <w:rPr>
          <w:rFonts w:ascii="Tahoma" w:eastAsia="Times New Roman" w:hAnsi="Tahoma" w:cs="Tahoma"/>
          <w:color w:val="000000"/>
          <w:sz w:val="15"/>
          <w:szCs w:val="15"/>
          <w:rtl/>
          <w:lang/>
        </w:rPr>
        <w:t> </w:t>
      </w:r>
    </w:p>
    <w:p w:rsidR="00363048" w:rsidRPr="00363048" w:rsidRDefault="00363048" w:rsidP="00363048">
      <w:pPr>
        <w:shd w:val="clear" w:color="auto" w:fill="FFFFFF"/>
        <w:bidi/>
        <w:spacing w:after="0" w:line="240" w:lineRule="auto"/>
        <w:rPr>
          <w:rFonts w:ascii="Tahoma" w:eastAsia="Times New Roman" w:hAnsi="Tahoma" w:cs="Tahoma"/>
          <w:color w:val="000000"/>
          <w:sz w:val="15"/>
          <w:szCs w:val="15"/>
          <w:rtl/>
          <w:lang/>
        </w:rPr>
      </w:pPr>
    </w:p>
    <w:p w:rsidR="00363048" w:rsidRPr="00363048" w:rsidRDefault="00363048" w:rsidP="00363048">
      <w:pPr>
        <w:shd w:val="clear" w:color="auto" w:fill="FFFFFF"/>
        <w:bidi/>
        <w:spacing w:before="100" w:beforeAutospacing="1" w:after="100" w:afterAutospacing="1" w:line="240" w:lineRule="auto"/>
        <w:rPr>
          <w:rFonts w:ascii="Tahoma" w:eastAsia="Times New Roman" w:hAnsi="Tahoma" w:cs="2  Titr"/>
          <w:color w:val="000000"/>
          <w:sz w:val="13"/>
          <w:szCs w:val="13"/>
          <w:rtl/>
          <w:lang/>
        </w:rPr>
      </w:pPr>
      <w:r w:rsidRPr="00363048">
        <w:rPr>
          <w:rFonts w:ascii="Tahoma" w:eastAsia="Times New Roman" w:hAnsi="Tahoma" w:cs="Tahoma"/>
          <w:color w:val="000000"/>
          <w:sz w:val="15"/>
          <w:szCs w:val="15"/>
          <w:rtl/>
          <w:lang/>
        </w:rPr>
        <w:t> </w:t>
      </w:r>
    </w:p>
    <w:p w:rsidR="00363048" w:rsidRPr="00363048" w:rsidRDefault="00363048" w:rsidP="00363048">
      <w:pPr>
        <w:shd w:val="clear" w:color="auto" w:fill="FFFFFF"/>
        <w:bidi/>
        <w:spacing w:before="100" w:beforeAutospacing="1" w:after="100" w:afterAutospacing="1" w:line="240" w:lineRule="auto"/>
        <w:rPr>
          <w:rFonts w:ascii="Tahoma" w:eastAsia="Times New Roman" w:hAnsi="Tahoma" w:cs="2  Titr"/>
          <w:color w:val="000000"/>
          <w:lang/>
        </w:rPr>
      </w:pPr>
      <w:r w:rsidRPr="00363048">
        <w:rPr>
          <w:rFonts w:ascii="Tahoma" w:eastAsia="Times New Roman" w:hAnsi="Tahoma" w:cs="Tahoma"/>
          <w:color w:val="000000"/>
          <w:sz w:val="13"/>
          <w:szCs w:val="13"/>
          <w:rtl/>
          <w:lang/>
        </w:rPr>
        <w:t>  </w:t>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w:t>
      </w:r>
      <w:r w:rsidRPr="00363048">
        <w:rPr>
          <w:rFonts w:ascii="Tahoma" w:eastAsia="Times New Roman" w:hAnsi="Tahoma" w:cs="2  Titr"/>
          <w:b/>
          <w:bCs/>
          <w:color w:val="FF0000"/>
          <w:rtl/>
          <w:lang/>
        </w:rPr>
        <w:t>ماده101ـ</w:t>
      </w:r>
      <w:r w:rsidRPr="00363048">
        <w:rPr>
          <w:rFonts w:ascii="Tahoma" w:eastAsia="Times New Roman" w:hAnsi="Tahoma" w:cs="2  Titr"/>
          <w:color w:val="000000"/>
          <w:rtl/>
          <w:lang/>
        </w:rPr>
        <w:t xml:space="preserve"> ادارات ثبت اسناد و املاک و حسب مورد دادگاهها موظفند در موقع دریافت تقاضای تفکیک یا افراز اراضی واقع در محدوده و حریم شهرها، از سوی مالکین، عمل تفکیک یا افراز را براساس نقشه‌ای انجام دهند که قبلاً به تأیید شهرداری مربوط رسیده باشد. نقشه‌ای که مالک برای تفکیک زمین خود تهیه نموده و جهت تصویب در قبال رسید، تسلیم شهرداری می‌نماید، باید پس از کسر سطوح معابر و قدرالسهم شهرداری مربوط به خدمات عمومی از کل زمین، از طرف شهرداری حداکثر ظرف سه ماه تأیید و کتباً به مالک ابلاغ شود.</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بعد از انقضاء مهلت مقرر و عدم تعیین‌تکلیف از سوی شهرداری مالک می‌تواند خود تقاضای تفکیک یا افراز را به دادگاه تسلیم نماید. دادگاه با رعایت حداکثر نصابهای مقرر در خصوص معابر، شوارع و سرانه‌های عمومی با أخذ نظر کمیسیون ماده (5)، به موضوع رسیدگی و اتخاذ تصمیم می‌نماید.</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کمیسیون ماده (5) حداکثر ظرف دو ماه باید به دادگاه مذکور پاسخ دهد. در صورت عدم ارسال پاسخ در مدت فوق، دادگاه با ملاحظه طرح جامع و تفصیلی در چهارچوب سایر ضوابط و مقررات، به موضوع رسیدگی و رأی مقتضی صادر می‌نماید.</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w:t>
      </w:r>
      <w:r w:rsidRPr="00363048">
        <w:rPr>
          <w:rFonts w:ascii="Tahoma" w:eastAsia="Times New Roman" w:hAnsi="Tahoma" w:cs="2  Titr"/>
          <w:b/>
          <w:bCs/>
          <w:color w:val="548DD4" w:themeColor="text2" w:themeTint="99"/>
          <w:rtl/>
          <w:lang/>
        </w:rPr>
        <w:t>تبصره1ـ</w:t>
      </w:r>
      <w:r w:rsidRPr="00363048">
        <w:rPr>
          <w:rFonts w:ascii="Tahoma" w:eastAsia="Times New Roman" w:hAnsi="Tahoma" w:cs="2  Titr"/>
          <w:color w:val="000000"/>
          <w:rtl/>
          <w:lang/>
        </w:rPr>
        <w:t xml:space="preserve"> رعایت حدنصابهای تفکیک و ضوابط و مقررات آخرین طرح جامع و تفصیلی مصوب در محدوده شهرها و همچنین رعایت حدنصابها، ضوابط، آیین‌نامه‌ها و دستورالعملهای مرتبط با قوانین از جمله قوانین ذیل، در تهیه و تأیید کلیه نقشه‌های تفکیکی موضوع این قانون توسط شهرداریها الزامی است:</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ـ مواد (14) و (15) قانون زمین شهری مصوب سال 1366</w:t>
      </w:r>
      <w:r w:rsidRPr="00363048">
        <w:rPr>
          <w:rFonts w:ascii="Tahoma" w:eastAsia="Times New Roman" w:hAnsi="Tahoma" w:cs="Tahoma"/>
          <w:color w:val="000000"/>
          <w:rtl/>
          <w:lang/>
        </w:rPr>
        <w:t> </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ـ قانون منع‌فروش و واگذاری اراضی فاقد کاربری مسکونی برای امر مسکن به شرکتهای تعاونی مسکن و سایر اشخاص حقیقی و حقوقی مصوب سال 1381</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ـ قانون حفظ کاربری اراضی زراعی و باغها مصوب سال 1374 و اصلاحات بعدی آن</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ـ قانون جلوگیری از خردشدن اراضی کشاورزی و ایجاد قطعات مناسب فنی ـ اقتصادی مصوب سال 1385 و اصلاحات بعدی آن</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ـ ماده (5) قانون تأسیس شورای عالی شهرسازی و معماری ایران و اصلاحات بعدی آن</w:t>
      </w:r>
      <w:r w:rsidRPr="00363048">
        <w:rPr>
          <w:rFonts w:ascii="Tahoma" w:eastAsia="Times New Roman" w:hAnsi="Tahoma" w:cs="2  Titr"/>
          <w:color w:val="000000"/>
          <w:rtl/>
          <w:lang/>
        </w:rPr>
        <w:br/>
      </w:r>
      <w:r w:rsidRPr="00363048">
        <w:rPr>
          <w:rFonts w:ascii="Tahoma" w:eastAsia="Times New Roman" w:hAnsi="Tahoma" w:cs="Tahoma"/>
          <w:color w:val="548DD4" w:themeColor="text2" w:themeTint="99"/>
          <w:rtl/>
          <w:lang/>
        </w:rPr>
        <w:t>      </w:t>
      </w:r>
      <w:r w:rsidRPr="00363048">
        <w:rPr>
          <w:rFonts w:ascii="Tahoma" w:eastAsia="Times New Roman" w:hAnsi="Tahoma" w:cs="2  Titr"/>
          <w:color w:val="548DD4" w:themeColor="text2" w:themeTint="99"/>
          <w:rtl/>
          <w:lang/>
        </w:rPr>
        <w:t xml:space="preserve"> </w:t>
      </w:r>
      <w:r w:rsidRPr="00363048">
        <w:rPr>
          <w:rFonts w:ascii="Tahoma" w:eastAsia="Times New Roman" w:hAnsi="Tahoma" w:cs="2  Titr"/>
          <w:b/>
          <w:bCs/>
          <w:color w:val="548DD4" w:themeColor="text2" w:themeTint="99"/>
          <w:rtl/>
          <w:lang/>
        </w:rPr>
        <w:t>تبصره2ـ</w:t>
      </w:r>
      <w:r w:rsidRPr="00363048">
        <w:rPr>
          <w:rFonts w:ascii="Tahoma" w:eastAsia="Times New Roman" w:hAnsi="Tahoma" w:cs="2  Titr"/>
          <w:color w:val="000000"/>
          <w:rtl/>
          <w:lang/>
        </w:rPr>
        <w:t xml:space="preserve"> در مورد اراضی دولتی، مطابق تبصره (1) ماده (11) قانون زمین شهری مصوب سال 1366 اقدام خواهدشد.</w:t>
      </w:r>
      <w:r w:rsidRPr="00363048">
        <w:rPr>
          <w:rFonts w:ascii="Tahoma" w:eastAsia="Times New Roman" w:hAnsi="Tahoma" w:cs="2  Titr"/>
          <w:color w:val="000000"/>
          <w:rtl/>
          <w:lang/>
        </w:rPr>
        <w:br/>
      </w:r>
      <w:r w:rsidRPr="00363048">
        <w:rPr>
          <w:rFonts w:ascii="Tahoma" w:eastAsia="Times New Roman" w:hAnsi="Tahoma" w:cs="Tahoma"/>
          <w:color w:val="548DD4" w:themeColor="text2" w:themeTint="99"/>
          <w:rtl/>
          <w:lang/>
        </w:rPr>
        <w:t>      </w:t>
      </w:r>
      <w:r w:rsidRPr="00363048">
        <w:rPr>
          <w:rFonts w:ascii="Tahoma" w:eastAsia="Times New Roman" w:hAnsi="Tahoma" w:cs="2  Titr"/>
          <w:color w:val="548DD4" w:themeColor="text2" w:themeTint="99"/>
          <w:rtl/>
          <w:lang/>
        </w:rPr>
        <w:t xml:space="preserve"> </w:t>
      </w:r>
      <w:r w:rsidRPr="00363048">
        <w:rPr>
          <w:rFonts w:ascii="Tahoma" w:eastAsia="Times New Roman" w:hAnsi="Tahoma" w:cs="2  Titr"/>
          <w:b/>
          <w:bCs/>
          <w:color w:val="548DD4" w:themeColor="text2" w:themeTint="99"/>
          <w:rtl/>
          <w:lang/>
        </w:rPr>
        <w:t>تبصره3ـ</w:t>
      </w:r>
      <w:r w:rsidRPr="00363048">
        <w:rPr>
          <w:rFonts w:ascii="Tahoma" w:eastAsia="Times New Roman" w:hAnsi="Tahoma" w:cs="2  Titr"/>
          <w:color w:val="000000"/>
          <w:rtl/>
          <w:lang/>
        </w:rPr>
        <w:t xml:space="preserve"> در اراضی با مساحت بیشتر از پانصد مترمربع که دارای سند ششدانگ است شهرداری برای تأمین سرانه فضای عمومی و خدماتی تا سقف بیست و پنج درصد (25%) و برای تأمین اراضی موردنیاز احداث شوارع و معابر عمومی شهر در اثر تفکیک و افراز این اراضی مطابق با طرح جامع و تفصیلی با توجه به ارزش افزوده ایجادشده از عمل تفکیک برای مالک، تا بیست و پنج درصد (25%) از باقیمانده اراضی را دریافت می‌نماید. شهرداری مجاز است با توافق مالک قدرالسهم مذکور را براساس قیمت روز زمین طبق نظر کارشناس رسمی دادگستری دریافت نماید.</w:t>
      </w:r>
      <w:r w:rsidRPr="00363048">
        <w:rPr>
          <w:rFonts w:ascii="Tahoma" w:eastAsia="Times New Roman" w:hAnsi="Tahoma" w:cs="2  Titr"/>
          <w:color w:val="000000"/>
          <w:rtl/>
          <w:lang/>
        </w:rPr>
        <w:br/>
      </w:r>
      <w:r w:rsidRPr="00363048">
        <w:rPr>
          <w:rFonts w:ascii="Tahoma" w:eastAsia="Times New Roman" w:hAnsi="Tahoma" w:cs="Tahoma"/>
          <w:color w:val="548DD4" w:themeColor="text2" w:themeTint="99"/>
          <w:rtl/>
          <w:lang/>
        </w:rPr>
        <w:lastRenderedPageBreak/>
        <w:t>      </w:t>
      </w:r>
      <w:r w:rsidRPr="00363048">
        <w:rPr>
          <w:rFonts w:ascii="Tahoma" w:eastAsia="Times New Roman" w:hAnsi="Tahoma" w:cs="2  Titr"/>
          <w:color w:val="548DD4" w:themeColor="text2" w:themeTint="99"/>
          <w:rtl/>
          <w:lang/>
        </w:rPr>
        <w:t xml:space="preserve"> </w:t>
      </w:r>
      <w:r w:rsidRPr="00363048">
        <w:rPr>
          <w:rFonts w:ascii="Tahoma" w:eastAsia="Times New Roman" w:hAnsi="Tahoma" w:cs="2  Titr"/>
          <w:b/>
          <w:bCs/>
          <w:color w:val="548DD4" w:themeColor="text2" w:themeTint="99"/>
          <w:rtl/>
          <w:lang/>
        </w:rPr>
        <w:t>تبصره4ـ</w:t>
      </w:r>
      <w:r w:rsidRPr="00363048">
        <w:rPr>
          <w:rFonts w:ascii="Tahoma" w:eastAsia="Times New Roman" w:hAnsi="Tahoma" w:cs="2  Titr"/>
          <w:color w:val="000000"/>
          <w:rtl/>
          <w:lang/>
        </w:rPr>
        <w:t xml:space="preserve"> کلیه اراضی حاصل از تبصره (3) و معابر و شوارع عمومی و اراضی خدماتی که در اثر تفکیک و افراز و صدور سند مالکیت ایجاد می‌شود، متعلق به شهرداری است و شهرداری در قبال آن هیچ ‌وجهی به صاحب ملک پرداخت نخواهدکرد.</w:t>
      </w:r>
      <w:r w:rsidRPr="00363048">
        <w:rPr>
          <w:rFonts w:ascii="Tahoma" w:eastAsia="Times New Roman" w:hAnsi="Tahoma" w:cs="2  Titr"/>
          <w:color w:val="000000"/>
          <w:rtl/>
          <w:lang/>
        </w:rPr>
        <w:br/>
        <w:t>در مواردی که امکان تأمین انواع سرانه، شوارع و معابر از زمین موردتفکیک و افراز میسر نباشد، شهرداری می‌تواند با تصویب شورای اسلامی شهر معادل قیمت آن را به نرخ کارشناسی دریافت نماید.</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w:t>
      </w:r>
      <w:r w:rsidRPr="00363048">
        <w:rPr>
          <w:rFonts w:ascii="Tahoma" w:eastAsia="Times New Roman" w:hAnsi="Tahoma" w:cs="2  Titr"/>
          <w:b/>
          <w:bCs/>
          <w:color w:val="548DD4" w:themeColor="text2" w:themeTint="99"/>
          <w:rtl/>
          <w:lang/>
        </w:rPr>
        <w:t>تبصره5 ـ</w:t>
      </w:r>
      <w:r w:rsidRPr="00363048">
        <w:rPr>
          <w:rFonts w:ascii="Tahoma" w:eastAsia="Times New Roman" w:hAnsi="Tahoma" w:cs="2  Titr"/>
          <w:color w:val="000000"/>
          <w:rtl/>
          <w:lang/>
        </w:rPr>
        <w:t xml:space="preserve"> هرگونه تخلف از موضوع این قانون در تفکیک یا افراز اراضی، جرم تلقی‌شده و متخلفین، طبق قانون مجازات اسلامی و قانون تخلفات اداری تحت پیگرد قانونی قرار خواهندگرفت.</w:t>
      </w:r>
      <w:r w:rsidRPr="00363048">
        <w:rPr>
          <w:rFonts w:ascii="Tahoma" w:eastAsia="Times New Roman" w:hAnsi="Tahoma" w:cs="2  Titr"/>
          <w:color w:val="000000"/>
          <w:rtl/>
          <w:lang/>
        </w:rPr>
        <w:br/>
      </w:r>
      <w:r w:rsidRPr="00363048">
        <w:rPr>
          <w:rFonts w:ascii="Tahoma" w:eastAsia="Times New Roman" w:hAnsi="Tahoma" w:cs="Tahoma"/>
          <w:color w:val="000000"/>
          <w:rtl/>
          <w:lang/>
        </w:rPr>
        <w:t>      </w:t>
      </w:r>
      <w:r w:rsidRPr="00363048">
        <w:rPr>
          <w:rFonts w:ascii="Tahoma" w:eastAsia="Times New Roman" w:hAnsi="Tahoma" w:cs="2  Titr"/>
          <w:color w:val="000000"/>
          <w:rtl/>
          <w:lang/>
        </w:rPr>
        <w:t xml:space="preserve"> قانون فوق مشتمل بر ماده واحده در جلسه علنی روز یکشنبه مورخ بیست و هشتم فروردین ماه یکهزار و سیصد و نود مجلس شورای اسلامی تصویب و در تاریخ 7/2/1390 به تأیید شورای نگهبان رسید.</w:t>
      </w:r>
    </w:p>
    <w:p w:rsidR="00363048" w:rsidRPr="00363048" w:rsidRDefault="00363048" w:rsidP="00363048">
      <w:pPr>
        <w:shd w:val="clear" w:color="auto" w:fill="FFFFFF"/>
        <w:bidi/>
        <w:spacing w:before="100" w:beforeAutospacing="1" w:after="100" w:afterAutospacing="1" w:line="240" w:lineRule="auto"/>
        <w:rPr>
          <w:rFonts w:ascii="Tahoma" w:eastAsia="Times New Roman" w:hAnsi="Tahoma" w:cs="Tahoma"/>
          <w:color w:val="000000"/>
          <w:rtl/>
          <w:lang/>
        </w:rPr>
      </w:pPr>
      <w:proofErr w:type="gramStart"/>
      <w:r>
        <w:rPr>
          <w:rFonts w:ascii="Tahoma" w:eastAsia="Times New Roman" w:hAnsi="Tahoma" w:cs="Tahoma"/>
          <w:color w:val="000000"/>
          <w:lang/>
        </w:rPr>
        <w:t>))</w:t>
      </w:r>
      <w:r w:rsidRPr="00363048">
        <w:rPr>
          <w:rFonts w:ascii="Tahoma" w:eastAsia="Times New Roman" w:hAnsi="Tahoma" w:cs="Tahoma"/>
          <w:color w:val="000000"/>
          <w:rtl/>
          <w:lang/>
        </w:rPr>
        <w:t>رییس</w:t>
      </w:r>
      <w:proofErr w:type="gramEnd"/>
      <w:r w:rsidRPr="00363048">
        <w:rPr>
          <w:rFonts w:ascii="Tahoma" w:eastAsia="Times New Roman" w:hAnsi="Tahoma" w:cs="Tahoma"/>
          <w:color w:val="000000"/>
          <w:rtl/>
          <w:lang/>
        </w:rPr>
        <w:t xml:space="preserve"> مجلس شورای اسلامی ـ علی لاریجانی</w:t>
      </w:r>
      <w:r w:rsidRPr="00363048">
        <w:rPr>
          <w:rFonts w:ascii="Tahoma" w:eastAsia="Times New Roman" w:hAnsi="Tahoma" w:cs="Tahoma"/>
          <w:color w:val="000000"/>
          <w:lang/>
        </w:rPr>
        <w:t xml:space="preserve">- </w:t>
      </w:r>
      <w:r w:rsidRPr="00363048">
        <w:rPr>
          <w:rFonts w:ascii="Tahoma" w:eastAsia="Times New Roman" w:hAnsi="Tahoma" w:cs="Tahoma"/>
          <w:color w:val="000000"/>
          <w:rtl/>
          <w:lang/>
        </w:rPr>
        <w:t xml:space="preserve">منبع </w:t>
      </w:r>
      <w:r w:rsidRPr="00363048">
        <w:rPr>
          <w:rFonts w:ascii="Tahoma" w:eastAsia="Times New Roman" w:hAnsi="Tahoma" w:cs="Tahoma"/>
          <w:color w:val="000000"/>
          <w:lang/>
        </w:rPr>
        <w:t>:</w:t>
      </w:r>
      <w:r w:rsidRPr="00363048">
        <w:rPr>
          <w:rFonts w:ascii="Tahoma" w:eastAsia="Times New Roman" w:hAnsi="Tahoma" w:cs="Tahoma"/>
          <w:color w:val="000000"/>
          <w:rtl/>
          <w:lang/>
        </w:rPr>
        <w:t>روزنامه رسمی کشور  پنج شنبه بیست و نهم اردیبهشت ماه </w:t>
      </w:r>
      <w:r w:rsidRPr="00363048">
        <w:rPr>
          <w:rFonts w:ascii="Tahoma" w:eastAsia="Times New Roman" w:hAnsi="Tahoma" w:cs="Tahoma"/>
          <w:color w:val="000000"/>
          <w:rtl/>
          <w:lang w:bidi="fa-IR"/>
        </w:rPr>
        <w:t>۱۳۹۰</w:t>
      </w:r>
      <w:r>
        <w:rPr>
          <w:rFonts w:ascii="Tahoma" w:eastAsia="Times New Roman" w:hAnsi="Tahoma" w:cs="Tahoma"/>
          <w:color w:val="000000"/>
          <w:lang w:bidi="fa-IR"/>
        </w:rPr>
        <w:t>((</w:t>
      </w:r>
    </w:p>
    <w:p w:rsidR="00AC3552" w:rsidRDefault="00AC3552"/>
    <w:sectPr w:rsidR="00AC3552" w:rsidSect="00AC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3048"/>
    <w:rsid w:val="00363048"/>
    <w:rsid w:val="00AC3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048"/>
    <w:rPr>
      <w:b/>
      <w:bCs/>
    </w:rPr>
  </w:style>
</w:styles>
</file>

<file path=word/webSettings.xml><?xml version="1.0" encoding="utf-8"?>
<w:webSettings xmlns:r="http://schemas.openxmlformats.org/officeDocument/2006/relationships" xmlns:w="http://schemas.openxmlformats.org/wordprocessingml/2006/main">
  <w:divs>
    <w:div w:id="1871143202">
      <w:bodyDiv w:val="1"/>
      <w:marLeft w:val="0"/>
      <w:marRight w:val="0"/>
      <w:marTop w:val="0"/>
      <w:marBottom w:val="0"/>
      <w:divBdr>
        <w:top w:val="none" w:sz="0" w:space="0" w:color="auto"/>
        <w:left w:val="none" w:sz="0" w:space="0" w:color="auto"/>
        <w:bottom w:val="none" w:sz="0" w:space="0" w:color="auto"/>
        <w:right w:val="none" w:sz="0" w:space="0" w:color="auto"/>
      </w:divBdr>
      <w:divsChild>
        <w:div w:id="698508738">
          <w:marLeft w:val="0"/>
          <w:marRight w:val="0"/>
          <w:marTop w:val="100"/>
          <w:marBottom w:val="100"/>
          <w:divBdr>
            <w:top w:val="none" w:sz="0" w:space="0" w:color="auto"/>
            <w:left w:val="none" w:sz="0" w:space="0" w:color="auto"/>
            <w:bottom w:val="none" w:sz="0" w:space="0" w:color="auto"/>
            <w:right w:val="none" w:sz="0" w:space="0" w:color="auto"/>
          </w:divBdr>
          <w:divsChild>
            <w:div w:id="1015156631">
              <w:marLeft w:val="0"/>
              <w:marRight w:val="0"/>
              <w:marTop w:val="0"/>
              <w:marBottom w:val="0"/>
              <w:divBdr>
                <w:top w:val="none" w:sz="0" w:space="0" w:color="auto"/>
                <w:left w:val="none" w:sz="0" w:space="0" w:color="auto"/>
                <w:bottom w:val="none" w:sz="0" w:space="0" w:color="auto"/>
                <w:right w:val="none" w:sz="0" w:space="0" w:color="auto"/>
              </w:divBdr>
              <w:divsChild>
                <w:div w:id="1596211623">
                  <w:marLeft w:val="204"/>
                  <w:marRight w:val="272"/>
                  <w:marTop w:val="68"/>
                  <w:marBottom w:val="6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2779</Characters>
  <Application>Microsoft Office Word</Application>
  <DocSecurity>0</DocSecurity>
  <Lines>23</Lines>
  <Paragraphs>6</Paragraphs>
  <ScaleCrop>false</ScaleCrop>
  <Company>MRT www.Win2Farsi.com</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2012-05-21T06:39:00Z</dcterms:created>
  <dcterms:modified xsi:type="dcterms:W3CDTF">2012-05-21T06:42:00Z</dcterms:modified>
</cp:coreProperties>
</file>